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3.png" ContentType="image/png"/>
  <Override PartName="/word/media/rId34.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2024-10-08</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IL-1β in healthy individuals are generally low, with reports in range of ~10pg/ml in adults for IL-6, and ~2.5 pg/ml IL-1β in adults</w:t>
      </w:r>
      <w:r>
        <w:t xml:space="preserve"> </w:t>
      </w:r>
      <w:r>
        <w:t xml:space="preserve">(2–5)</w:t>
      </w:r>
      <w:r>
        <w:t xml:space="preserve">. In contrast, cytokine levels may be considerably elevated with IL-6 levels of ~140 pg/mL, and IL-1β</w:t>
      </w:r>
      <w:r>
        <w:t xml:space="preserve"> </w:t>
      </w:r>
      <w:r>
        <w:rPr>
          <w:u w:val="single"/>
        </w:rPr>
        <w:t xml:space="preserve">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The median IL-6 values (IQR) in the control, sepsis, and septic shock groups were 23.6 (11.2–43.5), 89.9 (45.2–272.6), and 1378.6 (256.4–11,062.1) pg/mL</w:t>
      </w:r>
    </w:p>
    <w:p>
      <w:pPr>
        <w:pStyle w:val="BodyText"/>
      </w:pPr>
      <w:hyperlink r:id="rId20">
        <w:r>
          <w:rPr>
            <w:rStyle w:val="Hyperlink"/>
          </w:rPr>
          <w:t xml:space="preserve">https://bmcinfectdis.biomedcentral.com/articles/10.1186/s12879-019-4618-7</w:t>
        </w:r>
      </w:hyperlink>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85" w:name="results"/>
    <w:p>
      <w:pPr>
        <w:pStyle w:val="Heading2"/>
      </w:pPr>
      <w:r>
        <w:t xml:space="preserve">Results</w:t>
      </w:r>
    </w:p>
    <w:bookmarkStart w:id="42"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1</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r>
        <w:t xml:space="preserve"> </w:t>
      </w:r>
      <w:hyperlink w:anchor="fig-morph">
        <w:r>
          <w:rPr>
            <w:rStyle w:val="Hyperlink"/>
          </w:rPr>
          <w:t xml:space="preserve">Figure 2</w:t>
        </w:r>
      </w:hyperlink>
    </w:p>
    <w:tbl>
      <w:tblPr>
        <w:tblStyle w:val="Table"/>
        <w:tblW w:type="pct" w:w="5000"/>
        <w:tblLayout w:type="fixed"/>
        <w:tblLook w:firstRow="0" w:lastRow="0" w:firstColumn="0" w:lastColumn="0" w:noHBand="0" w:noVBand="0" w:val="0000"/>
      </w:tblPr>
      <w:tblGrid>
        <w:gridCol w:w="7920"/>
      </w:tblGrid>
      <w:tr>
        <w:tc>
          <w:tcPr/>
          <w:bookmarkStart w:id="37" w:name="fig-viability"/>
          <w:p>
            <w:pPr>
              <w:pStyle w:val="Compact"/>
              <w:jc w:val="center"/>
            </w:pPr>
            <w:r>
              <w:drawing>
                <wp:inline>
                  <wp:extent cx="6324600" cy="6324600"/>
                  <wp:effectExtent b="0" l="0" r="0" t="0"/>
                  <wp:docPr descr="" title="" id="35" name="Picture"/>
                  <a:graphic>
                    <a:graphicData uri="http://schemas.openxmlformats.org/drawingml/2006/picture">
                      <pic:pic>
                        <pic:nvPicPr>
                          <pic:cNvPr descr="images/viability_morph/main_viability.png" id="36" name="Picture"/>
                          <pic:cNvPicPr>
                            <a:picLocks noChangeArrowheads="1" noChangeAspect="1"/>
                          </pic:cNvPicPr>
                        </pic:nvPicPr>
                        <pic:blipFill>
                          <a:blip r:embed="rId34"/>
                          <a:stretch>
                            <a:fillRect/>
                          </a:stretch>
                        </pic:blipFill>
                        <pic:spPr bwMode="auto">
                          <a:xfrm>
                            <a:off x="0" y="0"/>
                            <a:ext cx="6324600" cy="6324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Absolute viability. Each point is the mean ATP content of 5-8 spheroids/replicates (mean = 7). Missing data for for donor 1 on day 5 and 16. Data for donor 3 day 9 was measured on day 10</w:t>
            </w:r>
          </w:p>
          <w:bookmarkEnd w:id="3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1" w:name="fig-morph"/>
          <w:p>
            <w:pPr>
              <w:pStyle w:val="Compact"/>
              <w:jc w:val="center"/>
            </w:pPr>
            <w:r>
              <w:drawing>
                <wp:inline>
                  <wp:extent cx="6324600" cy="3034969"/>
                  <wp:effectExtent b="0" l="0" r="0" t="0"/>
                  <wp:docPr descr="" title="" id="39" name="Picture"/>
                  <a:graphic>
                    <a:graphicData uri="http://schemas.openxmlformats.org/drawingml/2006/picture">
                      <pic:pic>
                        <pic:nvPicPr>
                          <pic:cNvPr descr="images/viability_morph\morph.png" id="40" name="Picture"/>
                          <pic:cNvPicPr>
                            <a:picLocks noChangeArrowheads="1" noChangeAspect="1"/>
                          </pic:cNvPicPr>
                        </pic:nvPicPr>
                        <pic:blipFill>
                          <a:blip r:embed="rId38"/>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Morphology for donors one, two, and three. Photos from the same well for each donor throughout the experiment. Scale bars represent 200 µm.</w:t>
            </w:r>
          </w:p>
          <w:bookmarkEnd w:id="41"/>
        </w:tc>
      </w:tr>
    </w:tbl>
    <w:bookmarkEnd w:id="42"/>
    <w:bookmarkStart w:id="84" w:name="X7b6fcd78bebede3c989fe1b20920817425ff86a"/>
    <w:p>
      <w:pPr>
        <w:pStyle w:val="Heading3"/>
      </w:pPr>
      <w:r>
        <w:t xml:space="preserve">Effect of inflammatory cytokines on mRNA expression</w:t>
      </w:r>
    </w:p>
    <w:p>
      <w:pPr>
        <w:pStyle w:val="FirstParagraph"/>
      </w:pPr>
      <w:r>
        <w:t xml:space="preserve">Employing the 3D model and more physiologically relevant concentrations of the pro-inflammatory cytokines IL-6 and IL-1β, we observed a dose-dependent downregulation of the transcription of the critical CYP3A4 enzyme, also at physiologically relevant concentrations, a notable finding that deviates from much of the existing literature (hører til I discussion, snarere end her?). Similar dose-dependent effects were seen with CYP1A2, 2B6, and 2D6 upon cytokine exposure, except for an unexpected upregulation of 2B6 after treatment with IL1-B (</w:t>
      </w:r>
      <w:hyperlink w:anchor="fig-mrna-main-il6">
        <w:r>
          <w:rPr>
            <w:rStyle w:val="Hyperlink"/>
          </w:rPr>
          <w:t xml:space="preserve">Figure 3</w:t>
        </w:r>
      </w:hyperlink>
      <w:r>
        <w:t xml:space="preserve"> </w:t>
      </w:r>
      <w:r>
        <w:t xml:space="preserve">and</w:t>
      </w:r>
      <w:r>
        <w:t xml:space="preserve"> </w:t>
      </w:r>
      <w:hyperlink w:anchor="fig-mrna-main-il1b">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mrna-main-il6"/>
          <w:p>
            <w:pPr>
              <w:pStyle w:val="Compact"/>
              <w:jc w:val="center"/>
            </w:pPr>
            <w:r>
              <w:drawing>
                <wp:inline>
                  <wp:extent cx="6324600" cy="5270500"/>
                  <wp:effectExtent b="0" l="0" r="0" t="0"/>
                  <wp:docPr descr="" title="" id="44" name="Picture"/>
                  <a:graphic>
                    <a:graphicData uri="http://schemas.openxmlformats.org/drawingml/2006/picture">
                      <pic:pic>
                        <pic:nvPicPr>
                          <pic:cNvPr descr="images/mRNA\plots\main_normalized_Expression_IL6.png" id="45" name="Picture"/>
                          <pic:cNvPicPr>
                            <a:picLocks noChangeArrowheads="1" noChangeAspect="1"/>
                          </pic:cNvPicPr>
                        </pic:nvPicPr>
                        <pic:blipFill>
                          <a:blip r:embed="rId43"/>
                          <a:stretch>
                            <a:fillRect/>
                          </a:stretch>
                        </pic:blipFill>
                        <pic:spPr bwMode="auto">
                          <a:xfrm>
                            <a:off x="0" y="0"/>
                            <a:ext cx="6324600" cy="527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Normalized expression of CYP1A2, 2B6, 2D6 and 3A4 after treatment with IL-6. Black bars represents overall means. Remove controls in this and the other mrna main????</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0" w:name="fig-mrna-main-il1b"/>
          <w:p>
            <w:pPr>
              <w:pStyle w:val="Compact"/>
              <w:jc w:val="center"/>
            </w:pPr>
            <w:r>
              <w:drawing>
                <wp:inline>
                  <wp:extent cx="6324600" cy="5270500"/>
                  <wp:effectExtent b="0" l="0" r="0" t="0"/>
                  <wp:docPr descr="" title="" id="48" name="Picture"/>
                  <a:graphic>
                    <a:graphicData uri="http://schemas.openxmlformats.org/drawingml/2006/picture">
                      <pic:pic>
                        <pic:nvPicPr>
                          <pic:cNvPr descr="images/mRNA\plots\main_normalized_Expression_IL1B.png" id="49" name="Picture"/>
                          <pic:cNvPicPr>
                            <a:picLocks noChangeArrowheads="1" noChangeAspect="1"/>
                          </pic:cNvPicPr>
                        </pic:nvPicPr>
                        <pic:blipFill>
                          <a:blip r:embed="rId47"/>
                          <a:stretch>
                            <a:fillRect/>
                          </a:stretch>
                        </pic:blipFill>
                        <pic:spPr bwMode="auto">
                          <a:xfrm>
                            <a:off x="0" y="0"/>
                            <a:ext cx="6324600" cy="527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Normalized expression of CYP1A2, 2B6, 2D6 and 3A4 after treatment with IL-1B. Black bars represents overall means.</w:t>
            </w:r>
          </w:p>
          <w:bookmarkEnd w:id="50"/>
        </w:tc>
      </w:tr>
    </w:tbl>
    <w:p>
      <w:pPr>
        <w:pStyle w:val="BodyText"/>
      </w:pPr>
      <w:r>
        <w:t xml:space="preserve">No negative effect of the treatments on viability or morphology was observed (rather the reverse, likely due to the excessive handling of the plates for viability/morphology). (Har også viability for treatments. Plottes og tilføjes supp.?)</w:t>
      </w:r>
    </w:p>
    <w:tbl>
      <w:tblPr>
        <w:tblStyle w:val="Table"/>
        <w:tblW w:type="pct" w:w="5000"/>
        <w:tblLayout w:type="fixed"/>
        <w:tblLook w:firstRow="0" w:lastRow="0" w:firstColumn="0" w:lastColumn="0" w:noHBand="0" w:noVBand="0" w:val="0000"/>
      </w:tblPr>
      <w:tblGrid>
        <w:gridCol w:w="7920"/>
      </w:tblGrid>
      <w:tr>
        <w:tc>
          <w:tcPr/>
          <w:bookmarkStart w:id="51" w:name="tbl-CYP3A4_IL6"/>
          <w:p>
            <w:pPr>
              <w:jc w:val="center"/>
            </w:pPr>
            <w:pPr>
              <w:jc w:val="start"/>
              <w:spacing w:before="200"/>
              <w:pStyle w:val="ImageCaption"/>
            </w:pPr>
            <w:r>
              <w:t xml:space="preserve">Table 1: Downregulation of CYP3A4 by IL-6</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treatment</w:t>
                  </w:r>
                </w:p>
              </w:tc>
              <w:tc>
                <w:tcPr/>
                <w:p>
                  <w:pPr>
                    <w:pStyle w:val="Compact"/>
                    <w:jc w:val="right"/>
                    <w:jc w:val="center"/>
                  </w:pPr>
                  <w:r>
                    <w:t xml:space="preserve">down</w:t>
                  </w:r>
                </w:p>
              </w:tc>
              <w:tc>
                <w:tcPr/>
                <w:p>
                  <w:pPr>
                    <w:pStyle w:val="Compact"/>
                    <w:jc w:val="right"/>
                    <w:jc w:val="center"/>
                  </w:pPr>
                  <w:r>
                    <w:t xml:space="preserve">down_pct</w:t>
                  </w:r>
                </w:p>
              </w:tc>
            </w:tr>
            <w:tr>
              <w:tc>
                <w:tcPr/>
                <w:p>
                  <w:pPr>
                    <w:pStyle w:val="Compact"/>
                    <w:jc w:val="left"/>
                    <w:jc w:val="center"/>
                  </w:pPr>
                  <w:r>
                    <w:t xml:space="preserve">0.01 ng/ml IL-6</w:t>
                  </w:r>
                </w:p>
              </w:tc>
              <w:tc>
                <w:tcPr/>
                <w:p>
                  <w:pPr>
                    <w:pStyle w:val="Compact"/>
                    <w:jc w:val="right"/>
                    <w:jc w:val="center"/>
                  </w:pPr>
                  <w:r>
                    <w:t xml:space="preserve">0.9685398</w:t>
                  </w:r>
                </w:p>
              </w:tc>
              <w:tc>
                <w:tcPr/>
                <w:p>
                  <w:pPr>
                    <w:pStyle w:val="Compact"/>
                    <w:jc w:val="right"/>
                    <w:jc w:val="center"/>
                  </w:pPr>
                  <w:r>
                    <w:t xml:space="preserve">3.146024</w:t>
                  </w:r>
                </w:p>
              </w:tc>
            </w:tr>
            <w:tr>
              <w:tc>
                <w:tcPr/>
                <w:p>
                  <w:pPr>
                    <w:pStyle w:val="Compact"/>
                    <w:jc w:val="left"/>
                    <w:jc w:val="center"/>
                  </w:pPr>
                  <w:r>
                    <w:t xml:space="preserve">0.1 ng/ml IL-6</w:t>
                  </w:r>
                </w:p>
              </w:tc>
              <w:tc>
                <w:tcPr/>
                <w:p>
                  <w:pPr>
                    <w:pStyle w:val="Compact"/>
                    <w:jc w:val="right"/>
                    <w:jc w:val="center"/>
                  </w:pPr>
                  <w:r>
                    <w:t xml:space="preserve">0.8568497</w:t>
                  </w:r>
                </w:p>
              </w:tc>
              <w:tc>
                <w:tcPr/>
                <w:p>
                  <w:pPr>
                    <w:pStyle w:val="Compact"/>
                    <w:jc w:val="right"/>
                    <w:jc w:val="center"/>
                  </w:pPr>
                  <w:r>
                    <w:t xml:space="preserve">14.315026</w:t>
                  </w:r>
                </w:p>
              </w:tc>
            </w:tr>
            <w:tr>
              <w:tc>
                <w:tcPr/>
                <w:p>
                  <w:pPr>
                    <w:pStyle w:val="Compact"/>
                    <w:jc w:val="left"/>
                    <w:jc w:val="center"/>
                  </w:pPr>
                  <w:r>
                    <w:t xml:space="preserve">1 ng/ml IL-6</w:t>
                  </w:r>
                </w:p>
              </w:tc>
              <w:tc>
                <w:tcPr/>
                <w:p>
                  <w:pPr>
                    <w:pStyle w:val="Compact"/>
                    <w:jc w:val="right"/>
                    <w:jc w:val="center"/>
                  </w:pPr>
                  <w:r>
                    <w:t xml:space="preserve">0.3306459</w:t>
                  </w:r>
                </w:p>
              </w:tc>
              <w:tc>
                <w:tcPr/>
                <w:p>
                  <w:pPr>
                    <w:pStyle w:val="Compact"/>
                    <w:jc w:val="right"/>
                    <w:jc w:val="center"/>
                  </w:pPr>
                  <w:r>
                    <w:t xml:space="preserve">66.935412</w:t>
                  </w:r>
                </w:p>
              </w:tc>
            </w:tr>
            <w:tr>
              <w:tc>
                <w:tcPr/>
                <w:p>
                  <w:pPr>
                    <w:pStyle w:val="Compact"/>
                    <w:jc w:val="left"/>
                    <w:jc w:val="center"/>
                  </w:pPr>
                  <w:r>
                    <w:t xml:space="preserve">10 ng/ml IL-6</w:t>
                  </w:r>
                </w:p>
              </w:tc>
              <w:tc>
                <w:tcPr/>
                <w:p>
                  <w:pPr>
                    <w:pStyle w:val="Compact"/>
                    <w:jc w:val="right"/>
                    <w:jc w:val="center"/>
                  </w:pPr>
                  <w:r>
                    <w:t xml:space="preserve">0.0637402</w:t>
                  </w:r>
                </w:p>
              </w:tc>
              <w:tc>
                <w:tcPr/>
                <w:p>
                  <w:pPr>
                    <w:pStyle w:val="Compact"/>
                    <w:jc w:val="right"/>
                    <w:jc w:val="center"/>
                  </w:pPr>
                  <w:r>
                    <w:t xml:space="preserve">93.625983</w:t>
                  </w:r>
                </w:p>
              </w:tc>
            </w:tr>
          </w:tbl>
          <w:bookmarkEnd w:id="51"/>
          <w:p/>
        </w:tc>
      </w:tr>
    </w:tbl>
    <w:p>
      <w:pPr>
        <w:pStyle w:val="BodyText"/>
      </w:pPr>
      <w:r>
        <w:t xml:space="preserve">See</w:t>
      </w:r>
      <w:r>
        <w:t xml:space="preserve"> </w:t>
      </w:r>
      <w:hyperlink w:anchor="tbl-CYP3A4_IL6">
        <w:r>
          <w:rPr>
            <w:rStyle w:val="Hyperlink"/>
          </w:rPr>
          <w:t xml:space="preserve">Table 1</w:t>
        </w:r>
      </w:hyperlink>
      <w:r>
        <w:t xml:space="preserve"> </w:t>
      </w:r>
      <w:r>
        <w:t xml:space="preserve">for downregulation</w:t>
      </w:r>
    </w:p>
    <w:tbl>
      <w:tblPr>
        <w:tblStyle w:val="Table"/>
        <w:tblW w:type="pct" w:w="5000"/>
        <w:tblLayout w:type="fixed"/>
        <w:tblLook w:firstRow="0" w:lastRow="0" w:firstColumn="0" w:lastColumn="0" w:noHBand="0" w:noVBand="0" w:val="0000"/>
      </w:tblPr>
      <w:tblGrid>
        <w:gridCol w:w="7920"/>
      </w:tblGrid>
      <w:tr>
        <w:tc>
          <w:tcPr/>
          <w:bookmarkStart w:id="52" w:name="tbl-CYP3A4_IL1B"/>
          <w:p>
            <w:pPr>
              <w:jc w:val="center"/>
            </w:pPr>
            <w:pPr>
              <w:jc w:val="start"/>
              <w:spacing w:before="200"/>
              <w:pStyle w:val="ImageCaption"/>
            </w:pPr>
            <w:r>
              <w:t xml:space="preserve">Table 2: Downregulation of CYP3A4 by IL-1B</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treatment</w:t>
                  </w:r>
                </w:p>
              </w:tc>
              <w:tc>
                <w:tcPr/>
                <w:p>
                  <w:pPr>
                    <w:pStyle w:val="Compact"/>
                    <w:jc w:val="right"/>
                    <w:jc w:val="center"/>
                  </w:pPr>
                  <w:r>
                    <w:t xml:space="preserve">down</w:t>
                  </w:r>
                </w:p>
              </w:tc>
              <w:tc>
                <w:tcPr/>
                <w:p>
                  <w:pPr>
                    <w:pStyle w:val="Compact"/>
                    <w:jc w:val="right"/>
                    <w:jc w:val="center"/>
                  </w:pPr>
                  <w:r>
                    <w:t xml:space="preserve">down_pct</w:t>
                  </w:r>
                </w:p>
              </w:tc>
            </w:tr>
            <w:tr>
              <w:tc>
                <w:tcPr/>
                <w:p>
                  <w:pPr>
                    <w:pStyle w:val="Compact"/>
                    <w:jc w:val="left"/>
                    <w:jc w:val="center"/>
                  </w:pPr>
                  <w:r>
                    <w:t xml:space="preserve">0.01 ng/ml IL-1B</w:t>
                  </w:r>
                </w:p>
              </w:tc>
              <w:tc>
                <w:tcPr/>
                <w:p>
                  <w:pPr>
                    <w:pStyle w:val="Compact"/>
                    <w:jc w:val="right"/>
                    <w:jc w:val="center"/>
                  </w:pPr>
                  <w:r>
                    <w:t xml:space="preserve">0.8556492</w:t>
                  </w:r>
                </w:p>
              </w:tc>
              <w:tc>
                <w:tcPr/>
                <w:p>
                  <w:pPr>
                    <w:pStyle w:val="Compact"/>
                    <w:jc w:val="right"/>
                    <w:jc w:val="center"/>
                  </w:pPr>
                  <w:r>
                    <w:t xml:space="preserve">14.43508</w:t>
                  </w:r>
                </w:p>
              </w:tc>
            </w:tr>
            <w:tr>
              <w:tc>
                <w:tcPr/>
                <w:p>
                  <w:pPr>
                    <w:pStyle w:val="Compact"/>
                    <w:jc w:val="left"/>
                    <w:jc w:val="center"/>
                  </w:pPr>
                  <w:r>
                    <w:t xml:space="preserve">0.1 ng/ml IL-1B</w:t>
                  </w:r>
                </w:p>
              </w:tc>
              <w:tc>
                <w:tcPr/>
                <w:p>
                  <w:pPr>
                    <w:pStyle w:val="Compact"/>
                    <w:jc w:val="right"/>
                    <w:jc w:val="center"/>
                  </w:pPr>
                  <w:r>
                    <w:t xml:space="preserve">0.6039612</w:t>
                  </w:r>
                </w:p>
              </w:tc>
              <w:tc>
                <w:tcPr/>
                <w:p>
                  <w:pPr>
                    <w:pStyle w:val="Compact"/>
                    <w:jc w:val="right"/>
                    <w:jc w:val="center"/>
                  </w:pPr>
                  <w:r>
                    <w:t xml:space="preserve">39.60388</w:t>
                  </w:r>
                </w:p>
              </w:tc>
            </w:tr>
            <w:tr>
              <w:tc>
                <w:tcPr/>
                <w:p>
                  <w:pPr>
                    <w:pStyle w:val="Compact"/>
                    <w:jc w:val="left"/>
                    <w:jc w:val="center"/>
                  </w:pPr>
                  <w:r>
                    <w:t xml:space="preserve">1 ng/ml IL-1B</w:t>
                  </w:r>
                </w:p>
              </w:tc>
              <w:tc>
                <w:tcPr/>
                <w:p>
                  <w:pPr>
                    <w:pStyle w:val="Compact"/>
                    <w:jc w:val="right"/>
                    <w:jc w:val="center"/>
                  </w:pPr>
                  <w:r>
                    <w:t xml:space="preserve">0.2979700</w:t>
                  </w:r>
                </w:p>
              </w:tc>
              <w:tc>
                <w:tcPr/>
                <w:p>
                  <w:pPr>
                    <w:pStyle w:val="Compact"/>
                    <w:jc w:val="right"/>
                    <w:jc w:val="center"/>
                  </w:pPr>
                  <w:r>
                    <w:t xml:space="preserve">70.20300</w:t>
                  </w:r>
                </w:p>
              </w:tc>
            </w:tr>
            <w:tr>
              <w:tc>
                <w:tcPr/>
                <w:p>
                  <w:pPr>
                    <w:pStyle w:val="Compact"/>
                    <w:jc w:val="left"/>
                    <w:jc w:val="center"/>
                  </w:pPr>
                  <w:r>
                    <w:t xml:space="preserve">10 ng/ml IL-1B</w:t>
                  </w:r>
                </w:p>
              </w:tc>
              <w:tc>
                <w:tcPr/>
                <w:p>
                  <w:pPr>
                    <w:pStyle w:val="Compact"/>
                    <w:jc w:val="right"/>
                    <w:jc w:val="center"/>
                  </w:pPr>
                  <w:r>
                    <w:t xml:space="preserve">0.1595929</w:t>
                  </w:r>
                </w:p>
              </w:tc>
              <w:tc>
                <w:tcPr/>
                <w:p>
                  <w:pPr>
                    <w:pStyle w:val="Compact"/>
                    <w:jc w:val="right"/>
                    <w:jc w:val="center"/>
                  </w:pPr>
                  <w:r>
                    <w:t xml:space="preserve">84.04071</w:t>
                  </w:r>
                </w:p>
              </w:tc>
            </w:tr>
          </w:tbl>
          <w:bookmarkEnd w:id="52"/>
          <w:p/>
        </w:tc>
      </w:tr>
    </w:tbl>
    <w:bookmarkStart w:id="83" w:name="refs"/>
    <w:bookmarkStart w:id="54"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53">
        <w:r>
          <w:rPr>
            <w:rStyle w:val="Hyperlink"/>
          </w:rPr>
          <w:t xml:space="preserve">https://onlinelibrary.wiley.com/doi/abs/10.1002/cpt.2432</w:t>
        </w:r>
      </w:hyperlink>
    </w:p>
    <w:bookmarkEnd w:id="54"/>
    <w:bookmarkStart w:id="56"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55">
        <w:r>
          <w:rPr>
            <w:rStyle w:val="Hyperlink"/>
          </w:rPr>
          <w:t xml:space="preserve">https://doi.org/10.1186/1479-5876-9-113</w:t>
        </w:r>
      </w:hyperlink>
    </w:p>
    <w:bookmarkEnd w:id="56"/>
    <w:bookmarkStart w:id="58"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57">
        <w:r>
          <w:rPr>
            <w:rStyle w:val="Hyperlink"/>
          </w:rPr>
          <w:t xml:space="preserve">http://www.hindawi.com/journals/mi/2013/434010/</w:t>
        </w:r>
      </w:hyperlink>
    </w:p>
    <w:bookmarkEnd w:id="58"/>
    <w:bookmarkStart w:id="60"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59">
        <w:r>
          <w:rPr>
            <w:rStyle w:val="Hyperlink"/>
          </w:rPr>
          <w:t xml:space="preserve">https://onlinelibrary.wiley.com/doi/abs/10.1002/jmv.26654</w:t>
        </w:r>
      </w:hyperlink>
    </w:p>
    <w:bookmarkEnd w:id="60"/>
    <w:bookmarkStart w:id="62"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61">
        <w:r>
          <w:rPr>
            <w:rStyle w:val="Hyperlink"/>
          </w:rPr>
          <w:t xml:space="preserve">https://doi.org/10.1186/s13075-020-02344-3</w:t>
        </w:r>
      </w:hyperlink>
    </w:p>
    <w:bookmarkEnd w:id="62"/>
    <w:bookmarkStart w:id="64"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63">
        <w:r>
          <w:rPr>
            <w:rStyle w:val="Hyperlink"/>
          </w:rPr>
          <w:t xml:space="preserve">https://www.hindawi.com/journals/mi/2014/385297/</w:t>
        </w:r>
      </w:hyperlink>
    </w:p>
    <w:bookmarkEnd w:id="64"/>
    <w:bookmarkStart w:id="66"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65">
        <w:r>
          <w:rPr>
            <w:rStyle w:val="Hyperlink"/>
          </w:rPr>
          <w:t xml:space="preserve">https://www.cochranelibrary.com/cdsr/doi/10.1002/14651858.CD011811.pub2/full</w:t>
        </w:r>
      </w:hyperlink>
    </w:p>
    <w:bookmarkEnd w:id="66"/>
    <w:bookmarkStart w:id="68" w:name="ref-bell2016"/>
    <w:p>
      <w:pPr>
        <w:pStyle w:val="Bibliography"/>
      </w:pPr>
      <w:r>
        <w:t xml:space="preserve">8.</w:t>
      </w:r>
      <w:r>
        <w:t xml:space="preserve"> </w:t>
      </w:r>
      <w:r>
        <w:t xml:space="preserve">	</w:t>
      </w:r>
      <w:r>
        <w:t xml:space="preserve">Bell CC, Hendriks DFG, Moro SML, Ellis E, Walsh J, Renblom A, et al.</w:t>
      </w:r>
      <w:r>
        <w:t xml:space="preserve"> </w:t>
      </w:r>
      <w:hyperlink r:id="rId67">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68"/>
    <w:bookmarkStart w:id="70"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69">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70"/>
    <w:bookmarkStart w:id="72"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71">
        <w:r>
          <w:rPr>
            <w:rStyle w:val="Hyperlink"/>
          </w:rPr>
          <w:t xml:space="preserve">https://onlinelibrary.wiley.com/doi/abs/10.1002/cpt.2887</w:t>
        </w:r>
      </w:hyperlink>
    </w:p>
    <w:bookmarkEnd w:id="72"/>
    <w:bookmarkStart w:id="74"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73">
        <w:r>
          <w:rPr>
            <w:rStyle w:val="Hyperlink"/>
          </w:rPr>
          <w:t xml:space="preserve">https://onlinelibrary.wiley.com/doi/abs/10.1111/bcpt.13587</w:t>
        </w:r>
      </w:hyperlink>
    </w:p>
    <w:bookmarkEnd w:id="74"/>
    <w:bookmarkStart w:id="76"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75">
        <w:r>
          <w:rPr>
            <w:rStyle w:val="Hyperlink"/>
          </w:rPr>
          <w:t xml:space="preserve">https://www.sciencedirect.com/science/article/pii/S2215016118300773</w:t>
        </w:r>
      </w:hyperlink>
    </w:p>
    <w:bookmarkEnd w:id="76"/>
    <w:bookmarkStart w:id="78"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77">
        <w:r>
          <w:rPr>
            <w:rStyle w:val="Hyperlink"/>
          </w:rPr>
          <w:t xml:space="preserve">https://www.sciencedirect.com/science/article/pii/S1046202309002461</w:t>
        </w:r>
      </w:hyperlink>
    </w:p>
    <w:bookmarkEnd w:id="78"/>
    <w:bookmarkStart w:id="80"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79">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80"/>
    <w:bookmarkStart w:id="82"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81">
        <w:r>
          <w:rPr>
            <w:rStyle w:val="Hyperlink"/>
          </w:rPr>
          <w:t xml:space="preserve">https://dmd.aspetjournals.org/content/48/7/594</w:t>
        </w:r>
      </w:hyperlink>
    </w:p>
    <w:bookmarkEnd w:id="82"/>
    <w:bookmarkEnd w:id="83"/>
    <w:bookmarkEnd w:id="84"/>
    <w:bookmarkEnd w:id="85"/>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hyperlink" Id="rId57"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81" Target="https://dmd.aspetjournals.org/content/48/7/594" TargetMode="External" /><Relationship Type="http://schemas.openxmlformats.org/officeDocument/2006/relationships/hyperlink" Id="rId67" Target="https://doi.org/10.1038/srep25187" TargetMode="External" /><Relationship Type="http://schemas.openxmlformats.org/officeDocument/2006/relationships/hyperlink" Id="rId69" Target="https://doi.org/10.1093/toxsci/kfx289" TargetMode="External" /><Relationship Type="http://schemas.openxmlformats.org/officeDocument/2006/relationships/hyperlink" Id="rId79" Target="https://doi.org/10.1124/dmd.117.078626" TargetMode="External" /><Relationship Type="http://schemas.openxmlformats.org/officeDocument/2006/relationships/hyperlink" Id="rId55" Target="https://doi.org/10.1186/1479-5876-9-113" TargetMode="External" /><Relationship Type="http://schemas.openxmlformats.org/officeDocument/2006/relationships/hyperlink" Id="rId61" Target="https://doi.org/10.1186/s13075-020-02344-3" TargetMode="External" /><Relationship Type="http://schemas.openxmlformats.org/officeDocument/2006/relationships/hyperlink" Id="rId53" Target="https://onlinelibrary.wiley.com/doi/abs/10.1002/cpt.2432" TargetMode="External" /><Relationship Type="http://schemas.openxmlformats.org/officeDocument/2006/relationships/hyperlink" Id="rId71" Target="https://onlinelibrary.wiley.com/doi/abs/10.1002/cpt.2887" TargetMode="External" /><Relationship Type="http://schemas.openxmlformats.org/officeDocument/2006/relationships/hyperlink" Id="rId59" Target="https://onlinelibrary.wiley.com/doi/abs/10.1002/jmv.26654" TargetMode="External" /><Relationship Type="http://schemas.openxmlformats.org/officeDocument/2006/relationships/hyperlink" Id="rId73" Target="https://onlinelibrary.wiley.com/doi/abs/10.1111/bcpt.13587" TargetMode="External" /><Relationship Type="http://schemas.openxmlformats.org/officeDocument/2006/relationships/hyperlink" Id="rId65" Target="https://www.cochranelibrary.com/cdsr/doi/10.1002/14651858.CD011811.pub2/full" TargetMode="External" /><Relationship Type="http://schemas.openxmlformats.org/officeDocument/2006/relationships/hyperlink" Id="rId63" Target="https://www.hindawi.com/journals/mi/2014/385297/" TargetMode="External" /><Relationship Type="http://schemas.openxmlformats.org/officeDocument/2006/relationships/hyperlink" Id="rId77" Target="https://www.sciencedirect.com/science/article/pii/S1046202309002461" TargetMode="External" /><Relationship Type="http://schemas.openxmlformats.org/officeDocument/2006/relationships/hyperlink" Id="rId75"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57"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81" Target="https://dmd.aspetjournals.org/content/48/7/594" TargetMode="External" /><Relationship Type="http://schemas.openxmlformats.org/officeDocument/2006/relationships/hyperlink" Id="rId67" Target="https://doi.org/10.1038/srep25187" TargetMode="External" /><Relationship Type="http://schemas.openxmlformats.org/officeDocument/2006/relationships/hyperlink" Id="rId69" Target="https://doi.org/10.1093/toxsci/kfx289" TargetMode="External" /><Relationship Type="http://schemas.openxmlformats.org/officeDocument/2006/relationships/hyperlink" Id="rId79" Target="https://doi.org/10.1124/dmd.117.078626" TargetMode="External" /><Relationship Type="http://schemas.openxmlformats.org/officeDocument/2006/relationships/hyperlink" Id="rId55" Target="https://doi.org/10.1186/1479-5876-9-113" TargetMode="External" /><Relationship Type="http://schemas.openxmlformats.org/officeDocument/2006/relationships/hyperlink" Id="rId61" Target="https://doi.org/10.1186/s13075-020-02344-3" TargetMode="External" /><Relationship Type="http://schemas.openxmlformats.org/officeDocument/2006/relationships/hyperlink" Id="rId53" Target="https://onlinelibrary.wiley.com/doi/abs/10.1002/cpt.2432" TargetMode="External" /><Relationship Type="http://schemas.openxmlformats.org/officeDocument/2006/relationships/hyperlink" Id="rId71" Target="https://onlinelibrary.wiley.com/doi/abs/10.1002/cpt.2887" TargetMode="External" /><Relationship Type="http://schemas.openxmlformats.org/officeDocument/2006/relationships/hyperlink" Id="rId59" Target="https://onlinelibrary.wiley.com/doi/abs/10.1002/jmv.26654" TargetMode="External" /><Relationship Type="http://schemas.openxmlformats.org/officeDocument/2006/relationships/hyperlink" Id="rId73" Target="https://onlinelibrary.wiley.com/doi/abs/10.1111/bcpt.13587" TargetMode="External" /><Relationship Type="http://schemas.openxmlformats.org/officeDocument/2006/relationships/hyperlink" Id="rId65" Target="https://www.cochranelibrary.com/cdsr/doi/10.1002/14651858.CD011811.pub2/full" TargetMode="External" /><Relationship Type="http://schemas.openxmlformats.org/officeDocument/2006/relationships/hyperlink" Id="rId63" Target="https://www.hindawi.com/journals/mi/2014/385297/" TargetMode="External" /><Relationship Type="http://schemas.openxmlformats.org/officeDocument/2006/relationships/hyperlink" Id="rId77" Target="https://www.sciencedirect.com/science/article/pii/S1046202309002461" TargetMode="External" /><Relationship Type="http://schemas.openxmlformats.org/officeDocument/2006/relationships/hyperlink" Id="rId75"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Erkka Järvinen; Tore B. Stage</dc:creator>
  <cp:keywords>3D primary human hepatocytes, Inflammation, Drug metabolism</cp:keywords>
  <dcterms:created xsi:type="dcterms:W3CDTF">2024-10-08T11:00:58Z</dcterms:created>
  <dcterms:modified xsi:type="dcterms:W3CDTF">2024-10-08T11:00:58Z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2024-10-08</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